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65B89" w14:textId="77777777" w:rsidR="00AE705C" w:rsidRPr="00AE705C" w:rsidRDefault="00F31ED0" w:rsidP="00AE705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="00AE705C" w:rsidRPr="00AE705C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18E272A2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42547EDA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3E934E68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3433C41F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40F7B905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</w:p>
    <w:p w14:paraId="7A81D3E6" w14:textId="3AAD905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SPECIFICKÝ CÍL </w:t>
      </w:r>
      <w:r w:rsidR="0004642B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4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.1</w:t>
      </w:r>
    </w:p>
    <w:p w14:paraId="61AB0BA6" w14:textId="32960743" w:rsidR="00AE705C" w:rsidRPr="00AE705C" w:rsidRDefault="00237ADB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  <w:r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průběžná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 </w:t>
      </w:r>
      <w:r w:rsidR="00AE705C"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8</w:t>
      </w:r>
      <w:r w:rsidR="00A4723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5</w:t>
      </w:r>
    </w:p>
    <w:p w14:paraId="18A8B969" w14:textId="40A172ED" w:rsidR="00D638FC" w:rsidRPr="00FA6850" w:rsidRDefault="00D638FC" w:rsidP="00FA6850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</w:t>
      </w:r>
      <w:r w:rsidR="00AE705C"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</w:t>
      </w:r>
      <w:r w:rsidR="00A4723C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4</w:t>
      </w:r>
    </w:p>
    <w:p w14:paraId="350F0956" w14:textId="0629355F" w:rsidR="00D638FC" w:rsidRPr="00441059" w:rsidRDefault="00D638FC" w:rsidP="00FA685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O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snova hlášení poskytovatele </w:t>
      </w:r>
      <w:r w:rsidR="00AE705C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SOHZ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 </w:t>
      </w:r>
    </w:p>
    <w:p w14:paraId="3506FEF1" w14:textId="77777777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01C2A54C" w14:textId="77777777" w:rsidR="006A2C53" w:rsidRPr="006A2C53" w:rsidRDefault="006A2C53" w:rsidP="006A2C53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  <w:r w:rsidRPr="006A2C53"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  <w:t>pLATNOST OD 16. 12. 2025</w:t>
      </w:r>
    </w:p>
    <w:p w14:paraId="0682B759" w14:textId="77777777" w:rsidR="006A2C53" w:rsidRDefault="006A2C53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49E45D72" w14:textId="77777777" w:rsidR="006A2C53" w:rsidRDefault="006A2C53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14EAE749" w14:textId="77777777" w:rsidR="006A2C53" w:rsidRDefault="006A2C53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1DE63BCB" w14:textId="77777777" w:rsidR="006A2C53" w:rsidRDefault="006A2C53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745C001E" w14:textId="77777777" w:rsidR="006A2C53" w:rsidRDefault="006A2C53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7C0BE5A9" w14:textId="77777777" w:rsidR="006A2C53" w:rsidRDefault="006A2C53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1EF4A2C4" w14:textId="77777777" w:rsidR="006A2C53" w:rsidRDefault="006A2C53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707A1FBC" w14:textId="7A014D05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lastRenderedPageBreak/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 </w:t>
      </w:r>
    </w:p>
    <w:sectPr w:rsidR="00F74FB3" w:rsidRPr="00F74FB3" w:rsidSect="00385199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EBA4F" w14:textId="04C48E97" w:rsidR="006A2C53" w:rsidRDefault="006A2C53">
    <w:pPr>
      <w:pStyle w:val="Zhlav"/>
    </w:pPr>
    <w:r w:rsidRPr="006A2C53">
      <w:rPr>
        <w:rFonts w:ascii="Calibri" w:eastAsia="Calibri" w:hAnsi="Calibri" w:cs="Times New Roman"/>
        <w:noProof/>
        <w:sz w:val="22"/>
        <w:szCs w:val="22"/>
        <w:lang w:val="cs-CZ" w:eastAsia="cs-CZ"/>
      </w:rPr>
      <w:drawing>
        <wp:inline distT="0" distB="0" distL="0" distR="0" wp14:anchorId="039EDCC6" wp14:editId="64067675">
          <wp:extent cx="5273675" cy="871855"/>
          <wp:effectExtent l="0" t="0" r="0" b="0"/>
          <wp:docPr id="37" name="Obrázek 37" descr="Obsah obrázku text, snímek obrazovky, Písmo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Obrázek 37" descr="Obsah obrázku text, snímek obrazovky, Písmo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42B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746E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20C48"/>
    <w:rsid w:val="002211BD"/>
    <w:rsid w:val="00237ADB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50DF"/>
    <w:rsid w:val="003C1AAD"/>
    <w:rsid w:val="003D3451"/>
    <w:rsid w:val="003E4169"/>
    <w:rsid w:val="003F42A1"/>
    <w:rsid w:val="0040092F"/>
    <w:rsid w:val="00403C43"/>
    <w:rsid w:val="0040422F"/>
    <w:rsid w:val="004159CB"/>
    <w:rsid w:val="00421722"/>
    <w:rsid w:val="00440C14"/>
    <w:rsid w:val="00441059"/>
    <w:rsid w:val="00446097"/>
    <w:rsid w:val="004505C3"/>
    <w:rsid w:val="0045270B"/>
    <w:rsid w:val="0045363B"/>
    <w:rsid w:val="00461EA4"/>
    <w:rsid w:val="004677E6"/>
    <w:rsid w:val="004721F3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49FA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42984"/>
    <w:rsid w:val="006576B8"/>
    <w:rsid w:val="00663704"/>
    <w:rsid w:val="0068669F"/>
    <w:rsid w:val="00691333"/>
    <w:rsid w:val="006A2C53"/>
    <w:rsid w:val="006B1E9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78DE"/>
    <w:rsid w:val="008D1B16"/>
    <w:rsid w:val="008D658F"/>
    <w:rsid w:val="008D6DC0"/>
    <w:rsid w:val="008D7BA6"/>
    <w:rsid w:val="008E16DB"/>
    <w:rsid w:val="00902234"/>
    <w:rsid w:val="00904FED"/>
    <w:rsid w:val="00907EF0"/>
    <w:rsid w:val="009138D8"/>
    <w:rsid w:val="0091394E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E4E54"/>
    <w:rsid w:val="009E602C"/>
    <w:rsid w:val="009E6E22"/>
    <w:rsid w:val="009E72C5"/>
    <w:rsid w:val="009F310B"/>
    <w:rsid w:val="00A12462"/>
    <w:rsid w:val="00A2306A"/>
    <w:rsid w:val="00A27C39"/>
    <w:rsid w:val="00A31D54"/>
    <w:rsid w:val="00A346DF"/>
    <w:rsid w:val="00A35307"/>
    <w:rsid w:val="00A366A0"/>
    <w:rsid w:val="00A442B3"/>
    <w:rsid w:val="00A45573"/>
    <w:rsid w:val="00A4640C"/>
    <w:rsid w:val="00A4723C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E705C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38FC"/>
    <w:rsid w:val="00D7219B"/>
    <w:rsid w:val="00D72E8D"/>
    <w:rsid w:val="00DA2C46"/>
    <w:rsid w:val="00DA6593"/>
    <w:rsid w:val="00DA7D3D"/>
    <w:rsid w:val="00DB0F8D"/>
    <w:rsid w:val="00DD159E"/>
    <w:rsid w:val="00DD3318"/>
    <w:rsid w:val="00DD499B"/>
    <w:rsid w:val="00DE0716"/>
    <w:rsid w:val="00DE0947"/>
    <w:rsid w:val="00E20F53"/>
    <w:rsid w:val="00E42268"/>
    <w:rsid w:val="00E5243F"/>
    <w:rsid w:val="00E54CD6"/>
    <w:rsid w:val="00E561FA"/>
    <w:rsid w:val="00E75FF1"/>
    <w:rsid w:val="00E90B5C"/>
    <w:rsid w:val="00EB0EEC"/>
    <w:rsid w:val="00EB107A"/>
    <w:rsid w:val="00EB2759"/>
    <w:rsid w:val="00EC3DC2"/>
    <w:rsid w:val="00EF078C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3588"/>
    <w:rsid w:val="00F6771F"/>
    <w:rsid w:val="00F74C84"/>
    <w:rsid w:val="00F74FB3"/>
    <w:rsid w:val="00F81693"/>
    <w:rsid w:val="00F8659E"/>
    <w:rsid w:val="00F90288"/>
    <w:rsid w:val="00F9293E"/>
    <w:rsid w:val="00F961F7"/>
    <w:rsid w:val="00FA0B23"/>
    <w:rsid w:val="00FA6850"/>
    <w:rsid w:val="00FA701A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5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5.xml><?xml version="1.0" encoding="utf-8"?>
<ds:datastoreItem xmlns:ds="http://schemas.openxmlformats.org/officeDocument/2006/customXml" ds:itemID="{91A9F803-64CA-4200-AC73-9939BCBB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654</Words>
  <Characters>4040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18</cp:revision>
  <dcterms:created xsi:type="dcterms:W3CDTF">2024-10-01T08:16:00Z</dcterms:created>
  <dcterms:modified xsi:type="dcterms:W3CDTF">2025-12-14T10:31:00Z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